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Scribe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1,802,178.00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1,802,178.00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1,802,178.00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1,802,178.00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1,802,178.00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1,802,178.00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1,802,178.00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1,802,178.00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1,802,178.00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1,714,582.00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1,714,582.00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1,714,582.00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Scribe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1150 Marina Village Parkway, Alameda, CA, 94501.</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common stock of the Issuer beneficially owned by such Reporting Person and is incorporated by reference. The Reporting Persons' beneficial ownership of the Issuer's common stock consists of (i) 1,714,582 shares of common stock directly held by the Fund; (ii) 20,929 shares of common stock directly held by the RA Capital Nexus Fund II, L.P (the "Nexus Fund II"); and (iii) 66,667 shares of common stock directly held by the RA Capital Nexus Fund IV, L.P (the "Nexus Fund IV"). RA Capital Healthcare Fund GP, LLC is the general partner of the Fund, RA Capital Nexus Fund II GP, LLC is the general partner of the Nexus Fund II and RA Capital Nexus Fund IV GP, LLC is the general partner of the Nexus Fund IV. The general partner of RA Capital is RA Capital Management GP, LLC, of which Dr. Kolchinsky and Mr. Shah are the controlling persons. RA Capital serves as investment adviser for each of the Fund, the Nexus Fund II and the Nexus Fund IV and may be deemed a beneficial owner, for purposes of Section 13(d) of the Act, of any securities of the Issuer held by the Fund, the Nexus Fund II or the Nexus Fund IV. Each of the Fund, the Nexus Fund II and the Nexus Fund IV has delegated to RA Capital the sole power to vote and the sole power to dispose of all securities held in its portfolio, including the shares of the Issuer's common stock reported herein. Because each of the Fund, the Nexus Fund II and the Nexus Fund IV has divested itself of voting and investment power over the reported securities it holds and may not revoke that delegation on less than 61 days' notice, each of the Fund, the Nexus Fund II and the Nexus Fund IV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shares of common stock of the Issuer beneficially owned by such Reporting Person and is incorporated by reference. Such percentage is based upon 18,864,386 shares of common stock outstanding as of July 27, 2026, as reported in the Issuer's prospectus dated July 23, 2026 filed with the Securities and Exchange Commission (the "SEC") on July 27, 2026.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right"/>
        <w:rPr>
          <w:b/>
        </w:rPr>
      </w:pPr>
      <w:bookmarkStart w:id="28" w:name="ex-99-08032026_080854.htm"/>
      <w:bookmarkStart w:id="29" w:name="ksex9908032026_080854"/>
      <w:bookmarkEnd w:id="28"/>
      <w:bookmarkEnd w:id="29"/>
      <w:r>
        <w:rPr>
          <w:b/>
        </w:rPr>
        <w:t>EXHIBIT 99.1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left"/>
        <w:rPr/>
      </w:pPr>
      <w:r>
        <w:rPr/>
      </w:r>
    </w:p>
    <w:p>
      <w:pPr>
        <w:pStyle w:val="TextBody"/>
        <w:bidi w:val="0"/>
        <w:spacing w:before="0" w:after="0"/>
        <w:ind w:left="0" w:right="0" w:hanging="0"/>
        <w:jc w:val="both"/>
        <w:rPr/>
      </w:pPr>
      <w:r>
        <w:rPr/>
        <w:t xml:space="preserve">This Joint Filing Agreement, dated as of August 3, 2026, is by and among RA Capital Management, L.P., Peter Kolchinsky, Rajeev Shah and RA Capital Healthcare Fund, L.P. (the foregoing are collectively referred to herein as the “Filers”). </w:t>
      </w:r>
    </w:p>
    <w:p>
      <w:pPr>
        <w:pStyle w:val="TextBody"/>
        <w:bidi w:val="0"/>
        <w:spacing w:before="0" w:after="0"/>
        <w:ind w:left="0" w:right="0" w:hanging="0"/>
        <w:jc w:val="both"/>
        <w:rPr/>
      </w:pPr>
      <w:r>
        <w:rPr/>
      </w:r>
    </w:p>
    <w:p>
      <w:pPr>
        <w:pStyle w:val="TextBody"/>
        <w:bidi w:val="0"/>
        <w:spacing w:before="0" w:after="0"/>
        <w:ind w:left="0" w:right="0" w:hanging="0"/>
        <w:jc w:val="both"/>
        <w:rPr/>
      </w:pPr>
      <w:r>
        <w:rPr/>
        <w:t>Each of the Filers may be required to file with the United States Securities and Exchange Commission a statement on Schedule 13G and/or 13D with respect to common stock, $0.001 par value per share of Scribe Therapeutics Inc. beneficially owned by them from time to time.</w:t>
      </w:r>
    </w:p>
    <w:p>
      <w:pPr>
        <w:pStyle w:val="TextBody"/>
        <w:bidi w:val="0"/>
        <w:spacing w:before="0" w:after="0"/>
        <w:ind w:left="0" w:right="0" w:hanging="0"/>
        <w:jc w:val="both"/>
        <w:rPr/>
      </w:pPr>
      <w:r>
        <w:rPr/>
      </w:r>
    </w:p>
    <w:p>
      <w:pPr>
        <w:pStyle w:val="TextBody"/>
        <w:bidi w:val="0"/>
        <w:spacing w:before="0" w:after="0"/>
        <w:ind w:left="0" w:right="0" w:hanging="0"/>
        <w:jc w:val="both"/>
        <w:rPr/>
      </w:pPr>
      <w:r>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pStyle w:val="TextBody"/>
        <w:bidi w:val="0"/>
        <w:spacing w:before="0" w:after="0"/>
        <w:ind w:left="0" w:right="0" w:hanging="0"/>
        <w:jc w:val="both"/>
        <w:rPr/>
      </w:pPr>
      <w:r>
        <w:rPr/>
      </w:r>
    </w:p>
    <w:p>
      <w:pPr>
        <w:pStyle w:val="TextBody"/>
        <w:bidi w:val="0"/>
        <w:spacing w:before="0" w:after="0"/>
        <w:ind w:left="0" w:right="0" w:hanging="0"/>
        <w:jc w:val="both"/>
        <w:rPr/>
      </w:pPr>
      <w:r>
        <w:rPr/>
        <w:t>This Joint Filing Agreement may be terminated by any of the Filers upon one week’s prior written notice or such lesser period of notice as the Filers may mutually agree.</w:t>
      </w:r>
    </w:p>
    <w:p>
      <w:pPr>
        <w:pStyle w:val="TextBody"/>
        <w:bidi w:val="0"/>
        <w:spacing w:before="0" w:after="0"/>
        <w:ind w:left="0" w:right="0" w:hanging="0"/>
        <w:jc w:val="left"/>
        <w:rPr/>
      </w:pPr>
      <w:r>
        <w:rPr/>
      </w:r>
    </w:p>
    <w:p>
      <w:pPr>
        <w:pStyle w:val="TextBody"/>
        <w:bidi w:val="0"/>
        <w:spacing w:before="0" w:after="0"/>
        <w:ind w:left="0" w:right="0" w:hanging="0"/>
        <w:jc w:val="left"/>
        <w:rPr/>
      </w:pPr>
      <w:r>
        <w:rPr/>
        <w:t>Executed and delivered as of the date first above written.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MANAGEMENT, L.P.</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914400" cy="175260"/>
                <wp:effectExtent l="0" t="0" r="0" b="0"/>
                <wp:wrapSquare wrapText="right"/>
                <wp:docPr id="28"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Authorized Signatory</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914400" cy="175260"/>
                <wp:effectExtent l="0" t="0" r="0" b="0"/>
                <wp:wrapSquare wrapText="right"/>
                <wp:docPr id="29"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PETER KOLCHINSKY</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Peter Kolchinsky</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RAJEEV SHAH</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Rajeev Shah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HEALTHCARE FUND, L.P.</w:t>
      </w:r>
    </w:p>
    <w:p>
      <w:pPr>
        <w:pStyle w:val="TextBody"/>
        <w:bidi w:val="0"/>
        <w:spacing w:before="0" w:after="0"/>
        <w:ind w:left="0" w:right="0" w:hanging="0"/>
        <w:jc w:val="left"/>
        <w:rPr/>
      </w:pPr>
      <w:r>
        <w:rPr/>
      </w:r>
    </w:p>
    <w:p>
      <w:pPr>
        <w:pStyle w:val="TextBody"/>
        <w:bidi w:val="0"/>
        <w:spacing w:before="0" w:after="0"/>
        <w:ind w:left="0" w:right="0" w:hanging="30"/>
        <w:jc w:val="left"/>
        <w:rPr/>
      </w:pPr>
      <w:r>
        <w:rPr/>
        <w:t>RA Capital Healthcare Fund GP, LLC</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Its:</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914400" cy="175260"/>
                <wp:effectExtent l="0" t="0" r="0" b="0"/>
                <wp:wrapSquare wrapText="right"/>
                <wp:docPr id="33"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Manager</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914400" cy="175260"/>
                <wp:effectExtent l="0" t="0" r="0" b="0"/>
                <wp:wrapSquare wrapText="right"/>
                <wp:docPr id="34"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195"/>
        <w:jc w:val="left"/>
        <w:rPr/>
      </w:pPr>
      <w:r>
        <w:rPr/>
      </w:r>
    </w:p>
    <w:p>
      <w:pPr>
        <w:pStyle w:val="TextBody"/>
        <w:bidi w:val="0"/>
        <w:spacing w:before="0" w:after="195"/>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2123</Words>
  <Characters>10731</Characters>
  <CharactersWithSpaces>12759</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