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Scribe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OrbiMed Advisors LLC</w:t>
              <w:br/>
              <w:t>601 Lexington Avenue, 54th Floor</w:t>
              <w:br/>
              <w:t>New York, NY, 10022</w:t>
              <w:br/>
              <w:t>(212) 739-6400</w:t>
            </w:r>
          </w:p>
          <w:p>
            <w:pPr>
              <w:pStyle w:val="TableContents"/>
              <w:bidi w:val="0"/>
              <w:jc w:val="left"/>
              <w:rPr/>
            </w:pPr>
            <w:r>
              <w:rPr/>
            </w:r>
          </w:p>
          <w:p>
            <w:pPr>
              <w:pStyle w:val="TableContents"/>
              <w:bidi w:val="0"/>
              <w:spacing w:before="0" w:after="0"/>
              <w:jc w:val="center"/>
              <w:rPr>
                <w:b/>
                <w:color w:val="0000FF"/>
              </w:rPr>
            </w:pPr>
            <w:r>
              <w:rPr>
                <w:b/>
                <w:color w:val="0000FF"/>
              </w:rPr>
              <w:t>OrbiMed Capital GP VIII LLC</w:t>
              <w:br/>
              <w:t>601 Lexington Avenue, 54th Floor</w:t>
              <w:br/>
              <w:t>New York, NY, 10022</w:t>
              <w:br/>
              <w:t>(212) 739-6400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07/27/2026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ORBIMED ADVISORS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1,348,825.00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1,348,825.00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1,348,825.00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7.2 %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ORBIMED CAPITAL GP VIII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1,348,825.00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1,348,825.00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1,348,825.00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7.2 %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1972" w:type="dxa"/>
        <w:jc w:val="left"/>
        <w:tblInd w:w="0" w:type="dxa"/>
        <w:tblLayout w:type="fixed"/>
        <w:tblCellMar>
          <w:top w:w="28" w:type="dxa"/>
          <w:left w:w="28" w:type="dxa"/>
          <w:bottom w:w="28" w:type="dxa"/>
          <w:right w:w="28" w:type="dxa"/>
        </w:tblCellMar>
      </w:tblPr>
      <w:tblGrid>
        <w:gridCol w:w="541"/>
        <w:gridCol w:w="11431"/>
      </w:tblGrid>
      <w:tr>
        <w:trPr/>
        <w:tc>
          <w:tcPr>
            <w:tcW w:w="541" w:type="dxa"/>
            <w:tcBorders/>
            <w:vAlign w:val="center"/>
          </w:tcPr>
          <w:p>
            <w:pPr>
              <w:pStyle w:val="TableContents"/>
              <w:bidi w:val="0"/>
              <w:spacing w:before="0" w:after="283"/>
              <w:jc w:val="left"/>
              <w:rPr/>
            </w:pPr>
            <w:r>
              <w:rPr/>
              <w:t>Item 1.</w:t>
            </w:r>
          </w:p>
        </w:tc>
        <w:tc>
          <w:tcPr>
            <w:tcW w:w="11431" w:type="dxa"/>
            <w:tcBorders/>
            <w:vAlign w:val="center"/>
          </w:tcPr>
          <w:p>
            <w:pPr>
              <w:pStyle w:val="TableContents"/>
              <w:bidi w:val="0"/>
              <w:spacing w:before="0" w:after="283"/>
              <w:jc w:val="left"/>
              <w:rPr/>
            </w:pPr>
            <w:r>
              <w:rPr/>
              <w:t>Security and Issuer</w:t>
            </w:r>
          </w:p>
        </w:tc>
      </w:tr>
      <w:tr>
        <w:trPr/>
        <w:tc>
          <w:tcPr>
            <w:tcW w:w="541" w:type="dxa"/>
            <w:tcBorders/>
            <w:vAlign w:val="center"/>
          </w:tcPr>
          <w:p>
            <w:pPr>
              <w:pStyle w:val="TableContents"/>
              <w:bidi w:val="0"/>
              <w:spacing w:before="0" w:after="283"/>
              <w:jc w:val="left"/>
              <w:rPr/>
            </w:pPr>
            <w:r>
              <w:rPr/>
              <w:t>(a)</w:t>
            </w:r>
          </w:p>
        </w:tc>
        <w:tc>
          <w:tcPr>
            <w:tcW w:w="114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541" w:type="dxa"/>
            <w:tcBorders/>
            <w:vAlign w:val="center"/>
          </w:tcPr>
          <w:p>
            <w:pPr>
              <w:pStyle w:val="TableContents"/>
              <w:bidi w:val="0"/>
              <w:spacing w:before="0" w:after="283"/>
              <w:jc w:val="left"/>
              <w:rPr/>
            </w:pPr>
            <w:r>
              <w:rPr/>
              <w:t>(b)</w:t>
            </w:r>
          </w:p>
        </w:tc>
        <w:tc>
          <w:tcPr>
            <w:tcW w:w="11431" w:type="dxa"/>
            <w:tcBorders/>
            <w:vAlign w:val="center"/>
          </w:tcPr>
          <w:p>
            <w:pPr>
              <w:pStyle w:val="TableContents"/>
              <w:bidi w:val="0"/>
              <w:jc w:val="left"/>
              <w:rPr/>
            </w:pPr>
            <w:r>
              <w:rPr/>
              <w:t xml:space="preserve">Name of Issuer: </w:t>
            </w:r>
          </w:p>
          <w:p>
            <w:pPr>
              <w:pStyle w:val="TableContents"/>
              <w:bidi w:val="0"/>
              <w:spacing w:before="0" w:after="0"/>
              <w:jc w:val="left"/>
              <w:rPr/>
            </w:pPr>
            <w:r>
              <w:rPr/>
              <w:t>Scribe Therapeutics, Inc.</w:t>
            </w:r>
          </w:p>
        </w:tc>
      </w:tr>
      <w:tr>
        <w:trPr/>
        <w:tc>
          <w:tcPr>
            <w:tcW w:w="541" w:type="dxa"/>
            <w:tcBorders/>
            <w:vAlign w:val="center"/>
          </w:tcPr>
          <w:p>
            <w:pPr>
              <w:pStyle w:val="TableContents"/>
              <w:bidi w:val="0"/>
              <w:spacing w:before="0" w:after="283"/>
              <w:jc w:val="left"/>
              <w:rPr/>
            </w:pPr>
            <w:r>
              <w:rPr/>
              <w:t>(c)</w:t>
            </w:r>
          </w:p>
        </w:tc>
        <w:tc>
          <w:tcPr>
            <w:tcW w:w="114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1150 Marina Village Pkwy, Alameda, CALIFORNIA , 94501.</w:t>
            </w:r>
          </w:p>
        </w:tc>
      </w:tr>
      <w:tr>
        <w:trPr/>
        <w:tc>
          <w:tcPr>
            <w:tcW w:w="541" w:type="dxa"/>
            <w:tcBorders/>
            <w:vAlign w:val="center"/>
          </w:tcPr>
          <w:p>
            <w:pPr>
              <w:pStyle w:val="TableContents"/>
              <w:bidi w:val="0"/>
              <w:spacing w:before="0" w:after="283"/>
              <w:jc w:val="left"/>
              <w:rPr/>
            </w:pPr>
            <w:r>
              <w:rPr/>
              <w:t>Item 2.</w:t>
            </w:r>
          </w:p>
        </w:tc>
        <w:tc>
          <w:tcPr>
            <w:tcW w:w="11431" w:type="dxa"/>
            <w:tcBorders/>
            <w:vAlign w:val="center"/>
          </w:tcPr>
          <w:p>
            <w:pPr>
              <w:pStyle w:val="TableContents"/>
              <w:bidi w:val="0"/>
              <w:spacing w:before="0" w:after="283"/>
              <w:jc w:val="left"/>
              <w:rPr/>
            </w:pPr>
            <w:r>
              <w:rPr/>
              <w:t>Identity and Background</w:t>
            </w:r>
          </w:p>
        </w:tc>
      </w:tr>
      <w:tr>
        <w:trPr/>
        <w:tc>
          <w:tcPr>
            <w:tcW w:w="541" w:type="dxa"/>
            <w:tcBorders/>
            <w:vAlign w:val="center"/>
          </w:tcPr>
          <w:p>
            <w:pPr>
              <w:pStyle w:val="TableContents"/>
              <w:bidi w:val="0"/>
              <w:spacing w:before="0" w:after="283"/>
              <w:jc w:val="left"/>
              <w:rPr/>
            </w:pPr>
            <w:r>
              <w:rPr/>
              <w:t>(a)</w:t>
            </w:r>
          </w:p>
        </w:tc>
        <w:tc>
          <w:tcPr>
            <w:tcW w:w="11431" w:type="dxa"/>
            <w:tcBorders/>
            <w:vAlign w:val="center"/>
          </w:tcPr>
          <w:p>
            <w:pPr>
              <w:pStyle w:val="TableContents"/>
              <w:bidi w:val="0"/>
              <w:spacing w:before="0" w:after="0"/>
              <w:jc w:val="left"/>
              <w:rPr/>
            </w:pPr>
            <w:r>
              <w:rPr/>
              <w:t>OrbiMed Advisors LLC ("OrbiMed Advisors") is a limited liability company organized under the laws of Delaware and a registered investment adviser under the Investment Advisers Act of 1940, as amended. OrbiMed Capital GP VIII LLC ("OrbiMed GP" and together with OrbiMed Advisors, the "Reporting Persons") is a limited liability company organized under the laws of Delaware. Carl L. Gordon is a United States citizen. Sven H. Borho is a German and Swedish citizen. W. Carter Neild is a United States citizen. Geoffrey C. Hsu is a United States citizen. C. Scotland Stevens is a United States citizen. David P. Bonita is a United States citizen. Peter A. Thompson is a United States citizen. Matthew S. Rizzo is a United States citizen. Mona Ashiya is a United States citizen. Trey Block is a United States citizen.</w:t>
            </w:r>
          </w:p>
        </w:tc>
      </w:tr>
      <w:tr>
        <w:trPr/>
        <w:tc>
          <w:tcPr>
            <w:tcW w:w="541" w:type="dxa"/>
            <w:tcBorders/>
            <w:vAlign w:val="center"/>
          </w:tcPr>
          <w:p>
            <w:pPr>
              <w:pStyle w:val="TableContents"/>
              <w:bidi w:val="0"/>
              <w:spacing w:before="0" w:after="283"/>
              <w:jc w:val="left"/>
              <w:rPr/>
            </w:pPr>
            <w:r>
              <w:rPr/>
              <w:t>(b)</w:t>
            </w:r>
          </w:p>
        </w:tc>
        <w:tc>
          <w:tcPr>
            <w:tcW w:w="11431" w:type="dxa"/>
            <w:tcBorders/>
            <w:vAlign w:val="center"/>
          </w:tcPr>
          <w:p>
            <w:pPr>
              <w:pStyle w:val="TableContents"/>
              <w:bidi w:val="0"/>
              <w:spacing w:before="0" w:after="0"/>
              <w:jc w:val="left"/>
              <w:rPr/>
            </w:pPr>
            <w:r>
              <w:rPr/>
              <w:t>601 Lexington Avenue, 54th Floor, New York, New York 10022.</w:t>
            </w:r>
          </w:p>
        </w:tc>
      </w:tr>
      <w:tr>
        <w:trPr/>
        <w:tc>
          <w:tcPr>
            <w:tcW w:w="541" w:type="dxa"/>
            <w:tcBorders/>
            <w:vAlign w:val="center"/>
          </w:tcPr>
          <w:p>
            <w:pPr>
              <w:pStyle w:val="TableContents"/>
              <w:bidi w:val="0"/>
              <w:spacing w:before="0" w:after="283"/>
              <w:jc w:val="left"/>
              <w:rPr/>
            </w:pPr>
            <w:r>
              <w:rPr/>
              <w:t>(c)</w:t>
            </w:r>
          </w:p>
        </w:tc>
        <w:tc>
          <w:tcPr>
            <w:tcW w:w="11431" w:type="dxa"/>
            <w:tcBorders/>
            <w:vAlign w:val="center"/>
          </w:tcPr>
          <w:p>
            <w:pPr>
              <w:pStyle w:val="TableContents"/>
              <w:bidi w:val="0"/>
              <w:spacing w:before="0" w:after="0"/>
              <w:jc w:val="left"/>
              <w:rPr/>
            </w:pPr>
            <w:r>
              <w:rPr/>
              <w:t>OrbiMed Advisors is the managing member or general partner of certain entities as more particularly described in Item 6 below. OrbiMed GP is the general partner of a limited partnership as more particularly described in Item 6 below. Carl L. Gordon is a member of OrbiMed Advisors. Sven H. Borho is a member of OrbiMed Advisors. W. Carter Neild is a member of OrbiMed Advisors. Geoffrey C. Hsu is a member of OrbiMed Advisors. C. Scotland Stevens is a member of OrbiMed Advisors. David P. Bonita is a member of OrbiMed Advisors. Peter A. Thompson is a member of OrbiMed Advisors. Matthew S. Rizzo is a member of OrbiMed Advisors. Mona Ashiya is a member of OrbiMed Advisors. Trey Block is the Chief Financial Officer of OrbiMed Advisors.</w:t>
            </w:r>
          </w:p>
        </w:tc>
      </w:tr>
      <w:tr>
        <w:trPr/>
        <w:tc>
          <w:tcPr>
            <w:tcW w:w="541" w:type="dxa"/>
            <w:tcBorders/>
            <w:vAlign w:val="center"/>
          </w:tcPr>
          <w:p>
            <w:pPr>
              <w:pStyle w:val="TableContents"/>
              <w:bidi w:val="0"/>
              <w:spacing w:before="0" w:after="283"/>
              <w:jc w:val="left"/>
              <w:rPr/>
            </w:pPr>
            <w:r>
              <w:rPr/>
              <w:t>(d)</w:t>
            </w:r>
          </w:p>
        </w:tc>
        <w:tc>
          <w:tcPr>
            <w:tcW w:w="11431" w:type="dxa"/>
            <w:tcBorders/>
            <w:vAlign w:val="center"/>
          </w:tcPr>
          <w:p>
            <w:pPr>
              <w:pStyle w:val="TableContents"/>
              <w:bidi w:val="0"/>
              <w:spacing w:before="0" w:after="0"/>
              <w:jc w:val="left"/>
              <w:rPr/>
            </w:pPr>
            <w:r>
              <w:rPr/>
              <w:t>Not applicable.</w:t>
            </w:r>
          </w:p>
        </w:tc>
      </w:tr>
      <w:tr>
        <w:trPr/>
        <w:tc>
          <w:tcPr>
            <w:tcW w:w="541" w:type="dxa"/>
            <w:tcBorders/>
            <w:vAlign w:val="center"/>
          </w:tcPr>
          <w:p>
            <w:pPr>
              <w:pStyle w:val="TableContents"/>
              <w:bidi w:val="0"/>
              <w:spacing w:before="0" w:after="283"/>
              <w:jc w:val="left"/>
              <w:rPr/>
            </w:pPr>
            <w:r>
              <w:rPr/>
              <w:t>(e)</w:t>
            </w:r>
          </w:p>
        </w:tc>
        <w:tc>
          <w:tcPr>
            <w:tcW w:w="11431" w:type="dxa"/>
            <w:tcBorders/>
            <w:vAlign w:val="center"/>
          </w:tcPr>
          <w:p>
            <w:pPr>
              <w:pStyle w:val="TableContents"/>
              <w:bidi w:val="0"/>
              <w:spacing w:before="0" w:after="0"/>
              <w:jc w:val="left"/>
              <w:rPr/>
            </w:pPr>
            <w:r>
              <w:rPr/>
              <w:t>Not applicable.</w:t>
            </w:r>
          </w:p>
        </w:tc>
      </w:tr>
      <w:tr>
        <w:trPr/>
        <w:tc>
          <w:tcPr>
            <w:tcW w:w="541" w:type="dxa"/>
            <w:tcBorders/>
            <w:vAlign w:val="center"/>
          </w:tcPr>
          <w:p>
            <w:pPr>
              <w:pStyle w:val="TableContents"/>
              <w:bidi w:val="0"/>
              <w:spacing w:before="0" w:after="283"/>
              <w:jc w:val="left"/>
              <w:rPr/>
            </w:pPr>
            <w:r>
              <w:rPr/>
              <w:t>(f)</w:t>
            </w:r>
          </w:p>
        </w:tc>
        <w:tc>
          <w:tcPr>
            <w:tcW w:w="11431" w:type="dxa"/>
            <w:tcBorders/>
            <w:vAlign w:val="center"/>
          </w:tcPr>
          <w:p>
            <w:pPr>
              <w:pStyle w:val="TableContents"/>
              <w:bidi w:val="0"/>
              <w:spacing w:before="0" w:after="0"/>
              <w:jc w:val="left"/>
              <w:rPr/>
            </w:pPr>
            <w:r>
              <w:rPr/>
              <w:t>Item 2(a) is incorporated herein by reference.</w:t>
            </w:r>
          </w:p>
        </w:tc>
      </w:tr>
      <w:tr>
        <w:trPr/>
        <w:tc>
          <w:tcPr>
            <w:tcW w:w="541" w:type="dxa"/>
            <w:tcBorders/>
            <w:vAlign w:val="center"/>
          </w:tcPr>
          <w:p>
            <w:pPr>
              <w:pStyle w:val="TableContents"/>
              <w:bidi w:val="0"/>
              <w:spacing w:before="0" w:after="283"/>
              <w:jc w:val="left"/>
              <w:rPr/>
            </w:pPr>
            <w:r>
              <w:rPr/>
              <w:t>Item 3.</w:t>
            </w:r>
          </w:p>
        </w:tc>
        <w:tc>
          <w:tcPr>
            <w:tcW w:w="11431" w:type="dxa"/>
            <w:tcBorders/>
            <w:vAlign w:val="center"/>
          </w:tcPr>
          <w:p>
            <w:pPr>
              <w:pStyle w:val="TableContents"/>
              <w:bidi w:val="0"/>
              <w:spacing w:before="0" w:after="283"/>
              <w:jc w:val="left"/>
              <w:rPr/>
            </w:pPr>
            <w:r>
              <w:rPr/>
              <w:t>Source and Amount of Funds or Other Consideration</w:t>
            </w:r>
          </w:p>
        </w:tc>
      </w:tr>
      <w:tr>
        <w:trPr/>
        <w:tc>
          <w:tcPr>
            <w:tcW w:w="541" w:type="dxa"/>
            <w:tcBorders/>
            <w:vAlign w:val="center"/>
          </w:tcPr>
          <w:p>
            <w:pPr>
              <w:pStyle w:val="TableContents"/>
              <w:bidi w:val="0"/>
              <w:spacing w:before="0" w:after="283"/>
              <w:jc w:val="left"/>
              <w:rPr/>
            </w:pPr>
            <w:r>
              <w:rPr/>
              <w:t> </w:t>
            </w:r>
          </w:p>
        </w:tc>
        <w:tc>
          <w:tcPr>
            <w:tcW w:w="11431" w:type="dxa"/>
            <w:tcBorders/>
            <w:vAlign w:val="center"/>
          </w:tcPr>
          <w:p>
            <w:pPr>
              <w:pStyle w:val="TableContents"/>
              <w:bidi w:val="0"/>
              <w:spacing w:before="0" w:after="0"/>
              <w:jc w:val="left"/>
              <w:rPr/>
            </w:pPr>
            <w:r>
              <w:rPr/>
              <w:t>In July 2026, OrbiMed Advisors and GP VIII, pursuant to their authority under the limited partnership agreement of OrbiMed Private Investments VIII, LP ("OPI VIII"), as more particularly described in Item 6 below, caused OPI VIII to purchase 2,065,672 shares of Series B preferred stock, par value $0.001 per share of the Issuer ("Series B preferred stock"). Each outstanding share of Series B preferred stock converted into Shares at a ratio of 1-for-0.1689 immediately upon the completion of the Issuer's initial public offering (the "IPO"). On and prior to the closing of the IPO, OrbiMed Advisors and GP VIII, pursuant to their authority under the limited partnership agreement of OPI VIII, caused OPI VIII to purchase 1,000,000 Shares in the IPO at purchase price of $15.00 per Share. The source of funds for such purchases was the working capital of OPI VIII.</w:t>
            </w:r>
          </w:p>
        </w:tc>
      </w:tr>
      <w:tr>
        <w:trPr/>
        <w:tc>
          <w:tcPr>
            <w:tcW w:w="541" w:type="dxa"/>
            <w:tcBorders/>
            <w:vAlign w:val="center"/>
          </w:tcPr>
          <w:p>
            <w:pPr>
              <w:pStyle w:val="TableContents"/>
              <w:bidi w:val="0"/>
              <w:spacing w:before="0" w:after="283"/>
              <w:jc w:val="left"/>
              <w:rPr/>
            </w:pPr>
            <w:r>
              <w:rPr/>
              <w:t>Item 4.</w:t>
            </w:r>
          </w:p>
        </w:tc>
        <w:tc>
          <w:tcPr>
            <w:tcW w:w="11431" w:type="dxa"/>
            <w:tcBorders/>
            <w:vAlign w:val="center"/>
          </w:tcPr>
          <w:p>
            <w:pPr>
              <w:pStyle w:val="TableContents"/>
              <w:bidi w:val="0"/>
              <w:spacing w:before="0" w:after="283"/>
              <w:jc w:val="left"/>
              <w:rPr/>
            </w:pPr>
            <w:r>
              <w:rPr/>
              <w:t>Purpose of Transaction</w:t>
            </w:r>
          </w:p>
        </w:tc>
      </w:tr>
      <w:tr>
        <w:trPr/>
        <w:tc>
          <w:tcPr>
            <w:tcW w:w="541" w:type="dxa"/>
            <w:tcBorders/>
            <w:vAlign w:val="center"/>
          </w:tcPr>
          <w:p>
            <w:pPr>
              <w:pStyle w:val="TableContents"/>
              <w:bidi w:val="0"/>
              <w:spacing w:before="0" w:after="283"/>
              <w:jc w:val="left"/>
              <w:rPr/>
            </w:pPr>
            <w:r>
              <w:rPr/>
              <w:t> </w:t>
            </w:r>
          </w:p>
        </w:tc>
        <w:tc>
          <w:tcPr>
            <w:tcW w:w="11431" w:type="dxa"/>
            <w:tcBorders/>
            <w:vAlign w:val="center"/>
          </w:tcPr>
          <w:p>
            <w:pPr>
              <w:pStyle w:val="TableContents"/>
              <w:bidi w:val="0"/>
              <w:spacing w:before="0" w:after="0"/>
              <w:jc w:val="left"/>
              <w:rPr/>
            </w:pPr>
            <w:r>
              <w:rPr/>
              <w:t>This Statement on Schedule 13D relates to the acquisition of Shares by the Reporting Persons. The Shares acquired by the Reporting Persons were acquired for the purpose of making an investment in the Issuer and not with the intention of acquiring control of the Issuer's business on behalf of the Reporting Persons' respective advisory clients. 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 Except as set forth in this Schedule 13D,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tc>
      </w:tr>
      <w:tr>
        <w:trPr/>
        <w:tc>
          <w:tcPr>
            <w:tcW w:w="541" w:type="dxa"/>
            <w:tcBorders/>
            <w:vAlign w:val="center"/>
          </w:tcPr>
          <w:p>
            <w:pPr>
              <w:pStyle w:val="TableContents"/>
              <w:bidi w:val="0"/>
              <w:spacing w:before="0" w:after="283"/>
              <w:jc w:val="left"/>
              <w:rPr/>
            </w:pPr>
            <w:r>
              <w:rPr/>
              <w:t>Item 5.</w:t>
            </w:r>
          </w:p>
        </w:tc>
        <w:tc>
          <w:tcPr>
            <w:tcW w:w="11431" w:type="dxa"/>
            <w:tcBorders/>
            <w:vAlign w:val="center"/>
          </w:tcPr>
          <w:p>
            <w:pPr>
              <w:pStyle w:val="TableContents"/>
              <w:bidi w:val="0"/>
              <w:spacing w:before="0" w:after="283"/>
              <w:jc w:val="left"/>
              <w:rPr/>
            </w:pPr>
            <w:r>
              <w:rPr/>
              <w:t>Interest in Securities of the Issuer</w:t>
            </w:r>
          </w:p>
        </w:tc>
      </w:tr>
      <w:tr>
        <w:trPr/>
        <w:tc>
          <w:tcPr>
            <w:tcW w:w="541" w:type="dxa"/>
            <w:tcBorders/>
            <w:vAlign w:val="center"/>
          </w:tcPr>
          <w:p>
            <w:pPr>
              <w:pStyle w:val="TableContents"/>
              <w:bidi w:val="0"/>
              <w:spacing w:before="0" w:after="283"/>
              <w:jc w:val="left"/>
              <w:rPr/>
            </w:pPr>
            <w:r>
              <w:rPr/>
              <w:t>(a)</w:t>
            </w:r>
          </w:p>
        </w:tc>
        <w:tc>
          <w:tcPr>
            <w:tcW w:w="11431" w:type="dxa"/>
            <w:tcBorders/>
            <w:vAlign w:val="center"/>
          </w:tcPr>
          <w:p>
            <w:pPr>
              <w:pStyle w:val="TableContents"/>
              <w:bidi w:val="0"/>
              <w:spacing w:before="0" w:after="0"/>
              <w:jc w:val="left"/>
              <w:rPr/>
            </w:pPr>
            <w:r>
              <w:rPr/>
              <w:t>The following disclosure is based upon 18,864,386 outstanding Shares of the Issuer, as set forth in the Issuer's Rule 424(b)(5) Prospectus filed with the Securities and Exchange Commission (the "SEC") on July 27, 2026. As of the date of this filing, OPI VIII, a limited partnership organized under the laws of Delaware, holds 1,348,825 Shares constituting approximately 7.2% of the issued and outstanding Shares. OrbiMed GP is the general partner of OPI VIII, pursuant to the terms of the limited partnership agreement of OPI VIII, and OrbiMed Advisors is the managing member of OrbiMed GP, pursuant to the terms of the limited liability company agreement of OrbiMed GP. As a result, OrbiMed Advisors and OrbiMed GP share power to direct the vote and disposition of the Shares held by OPI VIII and may be deemed directly or indirectly, including by reason of their mutual affiliation, to be the beneficial owners of the Shares held by OPI VIII. OrbiMed Advisors exercises this investment and voting power through a management committee comprised of Carl L. Gordon, Sven H. Borho, and W. Carter Neild, each of whom disclaims beneficial ownership of the Shares held by OPI VIII.</w:t>
            </w:r>
          </w:p>
        </w:tc>
      </w:tr>
      <w:tr>
        <w:trPr/>
        <w:tc>
          <w:tcPr>
            <w:tcW w:w="541" w:type="dxa"/>
            <w:tcBorders/>
            <w:vAlign w:val="center"/>
          </w:tcPr>
          <w:p>
            <w:pPr>
              <w:pStyle w:val="TableContents"/>
              <w:bidi w:val="0"/>
              <w:spacing w:before="0" w:after="283"/>
              <w:jc w:val="left"/>
              <w:rPr/>
            </w:pPr>
            <w:r>
              <w:rPr/>
              <w:t>(b)</w:t>
            </w:r>
          </w:p>
        </w:tc>
        <w:tc>
          <w:tcPr>
            <w:tcW w:w="11431" w:type="dxa"/>
            <w:tcBorders/>
            <w:vAlign w:val="center"/>
          </w:tcPr>
          <w:p>
            <w:pPr>
              <w:pStyle w:val="TableContents"/>
              <w:bidi w:val="0"/>
              <w:spacing w:before="0" w:after="0"/>
              <w:jc w:val="left"/>
              <w:rPr/>
            </w:pPr>
            <w:r>
              <w:rPr/>
              <w:t>Item 5(a) is incorporated by reference herein.</w:t>
            </w:r>
          </w:p>
        </w:tc>
      </w:tr>
      <w:tr>
        <w:trPr/>
        <w:tc>
          <w:tcPr>
            <w:tcW w:w="541" w:type="dxa"/>
            <w:tcBorders/>
            <w:vAlign w:val="center"/>
          </w:tcPr>
          <w:p>
            <w:pPr>
              <w:pStyle w:val="TableContents"/>
              <w:bidi w:val="0"/>
              <w:spacing w:before="0" w:after="283"/>
              <w:jc w:val="left"/>
              <w:rPr/>
            </w:pPr>
            <w:r>
              <w:rPr/>
              <w:t>(c)</w:t>
            </w:r>
          </w:p>
        </w:tc>
        <w:tc>
          <w:tcPr>
            <w:tcW w:w="11431" w:type="dxa"/>
            <w:tcBorders/>
            <w:vAlign w:val="center"/>
          </w:tcPr>
          <w:p>
            <w:pPr>
              <w:pStyle w:val="TableContents"/>
              <w:bidi w:val="0"/>
              <w:spacing w:before="0" w:after="0"/>
              <w:jc w:val="left"/>
              <w:rPr/>
            </w:pPr>
            <w:r>
              <w:rPr/>
              <w:t>Except as disclosed in Item 3, the Reporting Persons have not effected any transactions during the past sixty (60) days in any Shares.</w:t>
            </w:r>
          </w:p>
        </w:tc>
      </w:tr>
      <w:tr>
        <w:trPr/>
        <w:tc>
          <w:tcPr>
            <w:tcW w:w="541" w:type="dxa"/>
            <w:tcBorders/>
            <w:vAlign w:val="center"/>
          </w:tcPr>
          <w:p>
            <w:pPr>
              <w:pStyle w:val="TableContents"/>
              <w:bidi w:val="0"/>
              <w:spacing w:before="0" w:after="283"/>
              <w:jc w:val="left"/>
              <w:rPr/>
            </w:pPr>
            <w:r>
              <w:rPr/>
              <w:t>(d)</w:t>
            </w:r>
          </w:p>
        </w:tc>
        <w:tc>
          <w:tcPr>
            <w:tcW w:w="11431" w:type="dxa"/>
            <w:tcBorders/>
            <w:vAlign w:val="center"/>
          </w:tcPr>
          <w:p>
            <w:pPr>
              <w:pStyle w:val="TableContents"/>
              <w:bidi w:val="0"/>
              <w:spacing w:before="0" w:after="0"/>
              <w:jc w:val="left"/>
              <w:rPr/>
            </w:pPr>
            <w:r>
              <w:rPr/>
              <w:t>Not applicable.</w:t>
            </w:r>
          </w:p>
        </w:tc>
      </w:tr>
      <w:tr>
        <w:trPr/>
        <w:tc>
          <w:tcPr>
            <w:tcW w:w="541" w:type="dxa"/>
            <w:tcBorders/>
            <w:vAlign w:val="center"/>
          </w:tcPr>
          <w:p>
            <w:pPr>
              <w:pStyle w:val="TableContents"/>
              <w:bidi w:val="0"/>
              <w:spacing w:before="0" w:after="283"/>
              <w:jc w:val="left"/>
              <w:rPr/>
            </w:pPr>
            <w:r>
              <w:rPr/>
              <w:t>(e)</w:t>
            </w:r>
          </w:p>
        </w:tc>
        <w:tc>
          <w:tcPr>
            <w:tcW w:w="11431" w:type="dxa"/>
            <w:tcBorders/>
            <w:vAlign w:val="center"/>
          </w:tcPr>
          <w:p>
            <w:pPr>
              <w:pStyle w:val="TableContents"/>
              <w:bidi w:val="0"/>
              <w:spacing w:before="0" w:after="0"/>
              <w:jc w:val="left"/>
              <w:rPr/>
            </w:pPr>
            <w:r>
              <w:rPr/>
              <w:t>Not applicable.</w:t>
            </w:r>
          </w:p>
        </w:tc>
      </w:tr>
      <w:tr>
        <w:trPr/>
        <w:tc>
          <w:tcPr>
            <w:tcW w:w="541" w:type="dxa"/>
            <w:tcBorders/>
            <w:vAlign w:val="center"/>
          </w:tcPr>
          <w:p>
            <w:pPr>
              <w:pStyle w:val="TableContents"/>
              <w:bidi w:val="0"/>
              <w:spacing w:before="0" w:after="283"/>
              <w:jc w:val="left"/>
              <w:rPr/>
            </w:pPr>
            <w:r>
              <w:rPr/>
              <w:t>Item 6.</w:t>
            </w:r>
          </w:p>
        </w:tc>
        <w:tc>
          <w:tcPr>
            <w:tcW w:w="11431"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541" w:type="dxa"/>
            <w:tcBorders/>
            <w:vAlign w:val="center"/>
          </w:tcPr>
          <w:p>
            <w:pPr>
              <w:pStyle w:val="TableContents"/>
              <w:bidi w:val="0"/>
              <w:spacing w:before="0" w:after="283"/>
              <w:jc w:val="left"/>
              <w:rPr/>
            </w:pPr>
            <w:r>
              <w:rPr/>
              <w:t> </w:t>
            </w:r>
          </w:p>
        </w:tc>
        <w:tc>
          <w:tcPr>
            <w:tcW w:w="11431" w:type="dxa"/>
            <w:tcBorders/>
            <w:vAlign w:val="center"/>
          </w:tcPr>
          <w:p>
            <w:pPr>
              <w:pStyle w:val="TableContents"/>
              <w:bidi w:val="0"/>
              <w:spacing w:before="0" w:after="0"/>
              <w:jc w:val="left"/>
              <w:rPr/>
            </w:pPr>
            <w:r>
              <w:rPr/>
              <w:t>In addition to the relationships between the Reporting Persons described in Items 2 and 5 above, OrbiMed GP is the general partner of OPI VIII, pursuant to the terms of the limited partnership agreement of OPI VIII. Pursuant to this agreement and relationship, OrbiMed GP has discretionary investment management authority with respect to the assets of OPI VIII. Such authority includes the power to vote and otherwise dispose of securities held by OPI VIII. The number of outstanding Shares attributable to OPI VIII is 1,348,825 Shares. OrbiMed GP, pursuant to its authority under the limited partnership agreement of OPI VIII, may be considered to hold indirectly 1,348,825 Shares. In addition to the relationships between the Reporting Persons described in Items 2 and 5 above, OrbiMed Advisors is the managing member of OrbiMed GP, pursuant to the terms of the limited liability company agreement of OrbiMed GP. Pursuant to these agreements and relationships, OrbiMed Advisors and OrbiMed GP have discretionary investment management authority with respect to the assets of OPI VIII. Such authority includes the power of OrbiMed GP to vote and otherwise dispose of securities held by OPI VIII. The number of outstanding Shares attributable to OPI VIII is 1,348,825 Shares. OrbiMed Advisors, pursuant to its authority under the terms of the limited liability company agreement of OrbiMed GP, may also be considered to hold indirectly 1,348,825 Shares. Carl L. Gordon ("Gordon"), a member of OrbiMed Advisors, is a member of the Board of Directors of the Issuer and, accordingly, OrbiMed Advisors and GP VIII may have the ability to affect and influence control of the Issuer. From time to time, Gordon may receive stock options or other awards of equity-based compensation pursuant to the Issuer's compensation arrangements for non-employee directors. Pursuant to an agreement with OrbiMed Advisors and GP VIII, Gordon is obligated to transfer any securities issued under any such stock options or other awards, or the economic benefit thereof, to OrbiMed Advisors and GP VIII, who will in turn ensure that such securities or economic benefits are provided to OPI VIII. Investors' Rights Agreement In addition, OPI VIII and certain other stockholders of the Issuer entered into the Amended and Restated Investors' Rights Agreement with the Issuer, dated as of March 17, 2026 (the "Investors' Rights Agreement"). Pursuant to the Investors' Rights Agreement and subject to the terms and conditions therein, the parties agreed that: Form S-1 Registration Rights Upon the completion of the IPO, certain holders of Shares, including those issuable upon the conversion of shares of Series B preferred stock, will be entitled to certain demand registration rights. At any time beginning 180 days after the effective date of the registration statement for the IPO, the holders of a majority of registrable securities then outstanding may request that the Issuer register all or a portion of their Shares on Form S-1 with respect to a majority of the registrable securities then outstanding. With certain exceptions, the Issuer is not required to effect the filing of a registration statement during the period starting with the date of the filing of, and ending on a date 60 days following the effective date of the registration statement for the IPO. Piggyback Registration Rights After the IPO, in the event that the Issuer proposes to register any of its securities under the Securities Act of 1933, as amended, either for its own account or for the account of other security holders, the holders of such Shares will be entitled to certain piggyback registration rights allowing the holder to include their Shares in such registration, subject to certain marketing and other limitations. Form S-3 Registration Rights Upon the completion of the IPO, certain holders of Shares, including those issuable upon the conversion of shares of Series B preferred stock, will be entitled to certain Form S-3 registration rights. Holders of at least 30% of registrable securities then outstanding can make a request that the Issuer register their Shares on Form S-3 if the Issuer is qualified to file a registration statement on Form S-3 and if the reasonably anticipated aggregate net proceeds of the Shares offered would equal or exceed $5 million. The Issuer will not be required to effect more than two registrations on Form S-3 within any twelve-month period. The right to have such Shares registered on Form S-3 is further subject to other specified conditions and limitations. Expiration of Registration Rights The demand registration rights and short-form registration rights granted under the Investors' Rights Agreement will expire on the earliest to occur of (i) the closing of a deemed liquidation event, as defined in the Issuer's amended and restated certificate of incorporation, (ii) such time after the IPO as the registrable securities held by such holder may be sold within any three-month period without restriction pursuant to Rule 144 or a similar exemption under the Securities Act or (iii) the third anniversary of the IPO. Lock-Up Agreement In addition, in connection with the IPO, OPI VIII and Gordon each entered into a lock-up agreement (the "Lock-Up Agreement") with the Issuer's underwriters pursuant to which, among other things, OPI VIII and Gordon each agreed not to, except in limited circumstances, directly or indirectly, from the date of the Lock-Up Agreement until 180 days after the date of the final prospectus supplement relating to the IPO: (i) offer, sell, contract to sell, pledge, grant any option, right or warrant to purchase, purchase any option or contract to sell, lend or otherwise transfer or dispose of any Shares or any options or warrants to purchase any Shares or any securities convertible into, exchangeable for or that represent the right to receive Shares;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Shares or any options or warrants to purchase any Shares or any securities convertible into, exchangeable for or that represent the right to receive Shares, whether any such transaction or arrangement (or instrument provided for thereunder) would be settled by delivery of Shares or other securities, in cash or otherwise; (iii) otherwise publicly announce any intention to engage in or cause any action, activity, transaction or arrangement described in clause (i) or (ii) above, as applicable. The foregoing description of the Registration Rights Agreement and the Lockup Agreement do not purport to be complete and are qualified in their entirety by reference to the full texts of the Registration Rights Agreement and the Lock-Up Agreement, which are filed as Exhibit 2 and Exhibit 3, respectively, and incorporated herein by reference.</w:t>
            </w:r>
          </w:p>
        </w:tc>
      </w:tr>
      <w:tr>
        <w:trPr/>
        <w:tc>
          <w:tcPr>
            <w:tcW w:w="541" w:type="dxa"/>
            <w:tcBorders/>
            <w:vAlign w:val="center"/>
          </w:tcPr>
          <w:p>
            <w:pPr>
              <w:pStyle w:val="TableContents"/>
              <w:bidi w:val="0"/>
              <w:spacing w:before="0" w:after="283"/>
              <w:jc w:val="left"/>
              <w:rPr/>
            </w:pPr>
            <w:r>
              <w:rPr/>
              <w:t>Item 7.</w:t>
            </w:r>
          </w:p>
        </w:tc>
        <w:tc>
          <w:tcPr>
            <w:tcW w:w="11431" w:type="dxa"/>
            <w:tcBorders/>
            <w:vAlign w:val="center"/>
          </w:tcPr>
          <w:p>
            <w:pPr>
              <w:pStyle w:val="TableContents"/>
              <w:bidi w:val="0"/>
              <w:spacing w:before="0" w:after="283"/>
              <w:jc w:val="left"/>
              <w:rPr/>
            </w:pPr>
            <w:r>
              <w:rPr/>
              <w:t>Material to be Filed as Exhibits.</w:t>
            </w:r>
          </w:p>
        </w:tc>
      </w:tr>
      <w:tr>
        <w:trPr/>
        <w:tc>
          <w:tcPr>
            <w:tcW w:w="541" w:type="dxa"/>
            <w:tcBorders/>
            <w:vAlign w:val="center"/>
          </w:tcPr>
          <w:p>
            <w:pPr>
              <w:pStyle w:val="TableContents"/>
              <w:bidi w:val="0"/>
              <w:spacing w:before="0" w:after="283"/>
              <w:jc w:val="left"/>
              <w:rPr/>
            </w:pPr>
            <w:r>
              <w:rPr/>
              <w:t> </w:t>
            </w:r>
          </w:p>
        </w:tc>
        <w:tc>
          <w:tcPr>
            <w:tcW w:w="11431" w:type="dxa"/>
            <w:tcBorders/>
            <w:vAlign w:val="center"/>
          </w:tcPr>
          <w:p>
            <w:pPr>
              <w:pStyle w:val="TableContents"/>
              <w:bidi w:val="0"/>
              <w:spacing w:before="0" w:after="0"/>
              <w:jc w:val="left"/>
              <w:rPr/>
            </w:pPr>
            <w:r>
              <w:rPr/>
              <w:t>============================================================================== Exhibit Description ----------------------------------------------------------------------------------------------------------------------------------------- 1. Joint Filing Agreement among OrbiMed Advisors LLC and OrbiMed Capital GP VIII LLC. ----------------------------------------------------------------------------------------------------------------------------------------- 2. Amended and Restated Investors' Rights Agreement, by and between the Issuer and certain of its stockholders, dated as of March 17, 2021 (incorporated by reference to Exhibit 4.2 to the Issuer's Registration Statement on Form S-1, filed with the SEC on July 2, 2026). https://www.sec.gov/Archives/edgar/data/1853921/000119312526294804/0001193125-26 -294804-index.htm ----------------------------------------------------------------------------------------------------------------------------------------- 3. Form of Lock-Up Agreement (incorporated by reference to Annex II to Exhibit 1.1 to the Issuer's Registration Statement on Form S-1/A, filed with the SEC on July 20, 2026). https://www.sec.gov/Archives/edgar/data/1853921/000119312526308330/d21355dex11.htm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ORBIMED ADVISORS LLC</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Carl L. Gordon</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Carl L. Gordon/Member</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ORBIMED CAPITAL GP VIII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Carl L. Gordon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Carl L. Gordon/Member of OrbiMed Advisors LLC</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18" w:name="ss6646280_ex9901.htm"/>
      <w:bookmarkStart w:id="19" w:name="ksss6646280_ex9901"/>
      <w:bookmarkEnd w:id="18"/>
      <w:bookmarkEnd w:id="19"/>
      <w:r>
        <w:rPr/>
        <w:t> </w:t>
      </w:r>
      <w:r>
        <w:br w:type="page"/>
      </w:r>
    </w:p>
    <w:p>
      <w:pPr>
        <w:pStyle w:val="TextBody"/>
        <w:bidi w:val="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undersigned hereby agree that the Statement on Schedule 13D, dated July 27, 2026, with respect to the common stock of Scribe Therapeutics Inc. is filed on behalf of each of us pursuant to and in accordance with the provisions of Rule 13d-1(k) under the Securities Exchange Act of 1934, as amended. Each of the undersigned agrees to be responsible for the timely filing of the Statement, and for the completeness and accuracy of the information concerning itself contained therein. This Joint Filing Agreement may be executed in any number of counterparts, all of which taken together shall constitute one and the same instrument.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Joint Filing Agreement as of the 29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July 2026.</w:t>
      </w:r>
    </w:p>
    <w:p>
      <w:pPr>
        <w:pStyle w:val="TextBody"/>
        <w:bidi w:val="0"/>
        <w:ind w:left="0" w:right="0" w:firstLine="720"/>
        <w:jc w:val="left"/>
        <w:rPr>
          <w:caps w:val="false"/>
          <w:smallCaps w:val="false"/>
        </w:rPr>
      </w:pPr>
      <w:r>
        <w:rPr>
          <w:caps w:val="false"/>
          <w:smallCaps w:val="false"/>
        </w:rPr>
        <w:t> </w:t>
      </w:r>
    </w:p>
    <w:tbl>
      <w:tblPr>
        <w:tblW w:w="4569" w:type="dxa"/>
        <w:jc w:val="left"/>
        <w:tblInd w:w="0" w:type="dxa"/>
        <w:tblLayout w:type="fixed"/>
        <w:tblCellMar>
          <w:top w:w="0" w:type="dxa"/>
          <w:left w:w="0" w:type="dxa"/>
          <w:bottom w:w="0" w:type="dxa"/>
          <w:right w:w="0" w:type="dxa"/>
        </w:tblCellMar>
      </w:tblPr>
      <w:tblGrid>
        <w:gridCol w:w="75"/>
        <w:gridCol w:w="320"/>
        <w:gridCol w:w="4083"/>
        <w:gridCol w:w="91"/>
      </w:tblGrid>
      <w:tr>
        <w:trPr/>
        <w:tc>
          <w:tcPr>
            <w:tcW w:w="75" w:type="dxa"/>
            <w:tcBorders/>
            <w:vAlign w:val="center"/>
          </w:tcPr>
          <w:p>
            <w:pPr>
              <w:pStyle w:val="TableContents"/>
              <w:bidi w:val="0"/>
              <w:spacing w:before="0" w:after="283"/>
              <w:jc w:val="left"/>
              <w:rPr/>
            </w:pPr>
            <w:r>
              <w:rPr/>
              <w:t> </w:t>
            </w:r>
          </w:p>
        </w:tc>
        <w:tc>
          <w:tcPr>
            <w:tcW w:w="4403"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ORBIMED ADVISORS LLC</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83" w:type="dxa"/>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Carl L. Gordon</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Carl L. Gordon</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Member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83" w:type="dxa"/>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3"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ORBIMED CAPITAL GP VIII LLC</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83" w:type="dxa"/>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 its managing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83" w:type="dxa"/>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Carl L. Gordon</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Carl L. Gordon</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83"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Member of OrbiMed Advisors LLC</w:t>
            </w:r>
          </w:p>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3186</Words>
  <Characters>17185</Characters>
  <CharactersWithSpaces>20318</CharactersWithSpaces>
  <Paragraphs>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